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19" w:rsidRDefault="00594119" w:rsidP="00594119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 w:rsidRPr="00B03E8D">
        <w:rPr>
          <w:rFonts w:ascii="Tahoma" w:hAnsi="Tahoma" w:cs="Tahoma"/>
          <w:color w:val="636363"/>
          <w:u w:val="single"/>
        </w:rPr>
        <w:t xml:space="preserve">Протокол </w:t>
      </w:r>
      <w:r w:rsidRPr="00B03E8D">
        <w:rPr>
          <w:rFonts w:ascii="Tahoma" w:hAnsi="Tahoma" w:cs="Tahoma"/>
          <w:b/>
          <w:color w:val="636363"/>
          <w:u w:val="single"/>
        </w:rPr>
        <w:t>№4</w:t>
      </w:r>
      <w:r>
        <w:rPr>
          <w:rStyle w:val="apple-converted-space"/>
          <w:rFonts w:ascii="Tahoma" w:hAnsi="Tahoma" w:cs="Tahoma"/>
          <w:color w:val="636363"/>
          <w:sz w:val="20"/>
          <w:szCs w:val="20"/>
        </w:rPr>
        <w:t> </w:t>
      </w:r>
      <w:r>
        <w:rPr>
          <w:rFonts w:ascii="Tahoma" w:hAnsi="Tahoma" w:cs="Tahoma"/>
          <w:color w:val="636363"/>
          <w:sz w:val="20"/>
          <w:szCs w:val="20"/>
        </w:rPr>
        <w:t>заседания общественного совета медицинских работников</w:t>
      </w:r>
      <w:r>
        <w:rPr>
          <w:rFonts w:ascii="Tahoma" w:hAnsi="Tahoma" w:cs="Tahoma"/>
          <w:color w:val="636363"/>
          <w:sz w:val="20"/>
          <w:szCs w:val="20"/>
        </w:rPr>
        <w:t xml:space="preserve"> при ГБУЗ «ВОККВД»</w:t>
      </w:r>
    </w:p>
    <w:p w:rsidR="00594119" w:rsidRDefault="00594119" w:rsidP="00594119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rFonts w:ascii="Tahoma" w:hAnsi="Tahoma" w:cs="Tahoma"/>
          <w:color w:val="636363"/>
          <w:sz w:val="20"/>
          <w:szCs w:val="20"/>
        </w:rPr>
        <w:t>Дата: 27.07</w:t>
      </w:r>
      <w:r>
        <w:rPr>
          <w:rFonts w:ascii="Tahoma" w:hAnsi="Tahoma" w:cs="Tahoma"/>
          <w:color w:val="636363"/>
          <w:sz w:val="20"/>
          <w:szCs w:val="20"/>
        </w:rPr>
        <w:t>.16г.</w:t>
      </w:r>
    </w:p>
    <w:p w:rsidR="00594119" w:rsidRDefault="00594119" w:rsidP="00594119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rFonts w:ascii="Tahoma" w:hAnsi="Tahoma" w:cs="Tahoma"/>
          <w:color w:val="636363"/>
          <w:sz w:val="20"/>
          <w:szCs w:val="20"/>
          <w:u w:val="single"/>
        </w:rPr>
        <w:t>Присутствовали:</w:t>
      </w:r>
      <w:r>
        <w:rPr>
          <w:rStyle w:val="apple-converted-space"/>
          <w:rFonts w:ascii="Tahoma" w:hAnsi="Tahoma" w:cs="Tahoma"/>
          <w:color w:val="636363"/>
          <w:sz w:val="20"/>
          <w:szCs w:val="20"/>
        </w:rPr>
        <w:t> </w:t>
      </w:r>
      <w:r w:rsidR="00B03E8D">
        <w:rPr>
          <w:rFonts w:ascii="Tahoma" w:hAnsi="Tahoma" w:cs="Tahoma"/>
          <w:color w:val="636363"/>
          <w:sz w:val="20"/>
          <w:szCs w:val="20"/>
        </w:rPr>
        <w:t xml:space="preserve">Антонова </w:t>
      </w:r>
      <w:r w:rsidR="00B03E8D">
        <w:rPr>
          <w:rFonts w:ascii="Tahoma" w:hAnsi="Tahoma" w:cs="Tahoma"/>
          <w:color w:val="636363"/>
          <w:sz w:val="20"/>
          <w:szCs w:val="20"/>
        </w:rPr>
        <w:t>С.А., Мотина</w:t>
      </w:r>
      <w:r>
        <w:rPr>
          <w:rFonts w:ascii="Tahoma" w:hAnsi="Tahoma" w:cs="Tahoma"/>
          <w:color w:val="636363"/>
          <w:sz w:val="20"/>
          <w:szCs w:val="20"/>
        </w:rPr>
        <w:t xml:space="preserve"> Т.М, Дадонова Т.А, Квочкин</w:t>
      </w:r>
      <w:r w:rsidR="00B03E8D">
        <w:rPr>
          <w:rFonts w:ascii="Tahoma" w:hAnsi="Tahoma" w:cs="Tahoma"/>
          <w:color w:val="636363"/>
          <w:sz w:val="20"/>
          <w:szCs w:val="20"/>
        </w:rPr>
        <w:t>а Е.В, Донцова Е.П, Бессонова Т.Б, Тронева Т.Г.</w:t>
      </w:r>
      <w:bookmarkStart w:id="0" w:name="_GoBack"/>
      <w:bookmarkEnd w:id="0"/>
      <w:r>
        <w:rPr>
          <w:rFonts w:ascii="Tahoma" w:hAnsi="Tahoma" w:cs="Tahoma"/>
          <w:color w:val="636363"/>
          <w:sz w:val="20"/>
          <w:szCs w:val="20"/>
        </w:rPr>
        <w:t xml:space="preserve"> </w:t>
      </w:r>
    </w:p>
    <w:p w:rsidR="00594119" w:rsidRDefault="00594119" w:rsidP="00594119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rFonts w:ascii="Tahoma" w:hAnsi="Tahoma" w:cs="Tahoma"/>
          <w:color w:val="636363"/>
          <w:sz w:val="20"/>
          <w:szCs w:val="20"/>
          <w:u w:val="single"/>
        </w:rPr>
        <w:t>ПОВЕСТКА ДНЯ:</w:t>
      </w:r>
    </w:p>
    <w:p w:rsidR="00594119" w:rsidRDefault="00594119" w:rsidP="00594119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rFonts w:ascii="Tahoma" w:hAnsi="Tahoma" w:cs="Tahoma"/>
          <w:color w:val="636363"/>
          <w:sz w:val="20"/>
          <w:szCs w:val="20"/>
        </w:rPr>
        <w:t xml:space="preserve">1.Участие </w:t>
      </w:r>
      <w:r w:rsidR="00B03E8D">
        <w:rPr>
          <w:rFonts w:ascii="Tahoma" w:hAnsi="Tahoma" w:cs="Tahoma"/>
          <w:color w:val="636363"/>
          <w:sz w:val="20"/>
          <w:szCs w:val="20"/>
        </w:rPr>
        <w:t>медработника</w:t>
      </w:r>
      <w:r>
        <w:rPr>
          <w:rFonts w:ascii="Tahoma" w:hAnsi="Tahoma" w:cs="Tahoma"/>
          <w:color w:val="636363"/>
          <w:sz w:val="20"/>
          <w:szCs w:val="20"/>
        </w:rPr>
        <w:t xml:space="preserve"> в рекламе </w:t>
      </w:r>
      <w:r w:rsidR="00B03E8D">
        <w:rPr>
          <w:rFonts w:ascii="Tahoma" w:hAnsi="Tahoma" w:cs="Tahoma"/>
          <w:color w:val="636363"/>
          <w:sz w:val="20"/>
          <w:szCs w:val="20"/>
        </w:rPr>
        <w:t>фарм. продукции</w:t>
      </w:r>
    </w:p>
    <w:p w:rsidR="00594119" w:rsidRPr="00594119" w:rsidRDefault="00594119" w:rsidP="00594119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rFonts w:ascii="Tahoma" w:hAnsi="Tahoma" w:cs="Tahoma"/>
          <w:color w:val="636363"/>
          <w:sz w:val="20"/>
          <w:szCs w:val="20"/>
        </w:rPr>
        <w:t>2. Принятие решения по итог</w:t>
      </w:r>
      <w:r>
        <w:rPr>
          <w:rFonts w:ascii="Tahoma" w:hAnsi="Tahoma" w:cs="Tahoma"/>
          <w:color w:val="636363"/>
          <w:sz w:val="20"/>
          <w:szCs w:val="20"/>
        </w:rPr>
        <w:t>ам заседания.</w:t>
      </w:r>
    </w:p>
    <w:p w:rsidR="000B51A1" w:rsidRDefault="00594119" w:rsidP="000B51A1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</w:t>
      </w:r>
      <w:r w:rsidR="000B51A1">
        <w:rPr>
          <w:rFonts w:ascii="Arial" w:hAnsi="Arial" w:cs="Arial"/>
          <w:color w:val="000000"/>
        </w:rPr>
        <w:t>Фармацевтика в маркетинговом плане — отрасль уникальная, можно сказать, что в ней максимально работает принцип лидеров мнений, где в этой роли выступают врачи и фармацевты. Один из ключевых инструментов продвижения — работа с врачами и фармацевтами в аптеках. Ведь именно от их назначений и рекомендаций во многом зависит, какой препарат в итоге купят потребители.</w:t>
      </w:r>
      <w:r w:rsidR="000B51A1">
        <w:rPr>
          <w:rStyle w:val="apple-converted-space"/>
          <w:rFonts w:ascii="Arial" w:hAnsi="Arial" w:cs="Arial"/>
          <w:color w:val="000000"/>
        </w:rPr>
        <w:t> </w:t>
      </w:r>
      <w:hyperlink r:id="rId4" w:tgtFrame="_blank" w:history="1">
        <w:r w:rsidR="000B51A1">
          <w:rPr>
            <w:rStyle w:val="a4"/>
            <w:rFonts w:ascii="Arial" w:hAnsi="Arial" w:cs="Arial"/>
            <w:color w:val="59A370"/>
          </w:rPr>
          <w:t>По данным Kantar Health</w:t>
        </w:r>
      </w:hyperlink>
      <w:r w:rsidR="000B51A1">
        <w:rPr>
          <w:rFonts w:ascii="Arial" w:hAnsi="Arial" w:cs="Arial"/>
          <w:color w:val="000000"/>
        </w:rPr>
        <w:t>, до 40% финального решения о покупке конкретного бренда препарата зависит от фармацевта.</w:t>
      </w:r>
    </w:p>
    <w:p w:rsidR="000B51A1" w:rsidRPr="000B51A1" w:rsidRDefault="000B51A1" w:rsidP="000B51A1">
      <w:pPr>
        <w:spacing w:before="525" w:after="225" w:line="240" w:lineRule="auto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0B51A1">
        <w:rPr>
          <w:rFonts w:ascii="Times New Roman" w:eastAsia="Times New Roman" w:hAnsi="Times New Roman" w:cs="Times New Roman"/>
          <w:sz w:val="33"/>
          <w:szCs w:val="33"/>
          <w:lang w:eastAsia="ru-RU"/>
        </w:rPr>
        <w:t>Медицинские представители</w:t>
      </w:r>
    </w:p>
    <w:p w:rsidR="000B51A1" w:rsidRPr="000B51A1" w:rsidRDefault="000B51A1" w:rsidP="000B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Долгие годы одним из ключевых инструментов продвижения для фармацевтических компаний была работа с врачами через медицинских представителей. Но четкое и прозрачное регулирование этого инструмента отсутствовало, и различные программы стимулирования врачей привели к необоснованному увеличению количества назначаемых импортных дорогих препаратов, а также к значительному росту их доли в </w:t>
      </w:r>
      <w:hyperlink r:id="rId5" w:tgtFrame="_blank" w:history="1">
        <w:r w:rsidRPr="000B51A1">
          <w:rPr>
            <w:rFonts w:ascii="Times New Roman" w:eastAsia="Times New Roman" w:hAnsi="Times New Roman" w:cs="Times New Roman"/>
            <w:color w:val="59A370"/>
            <w:sz w:val="24"/>
            <w:szCs w:val="24"/>
            <w:u w:val="single"/>
            <w:lang w:eastAsia="ru-RU"/>
          </w:rPr>
          <w:t>перечне жизненно необходимых и важнейших лекарственных препаратов</w:t>
        </w:r>
      </w:hyperlink>
      <w:r w:rsidRPr="000B51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011" w:type="dxa"/>
        <w:tblBorders>
          <w:top w:val="single" w:sz="24" w:space="0" w:color="85BA96"/>
          <w:left w:val="single" w:sz="24" w:space="0" w:color="85BA96"/>
          <w:bottom w:val="single" w:sz="24" w:space="0" w:color="85BA96"/>
          <w:right w:val="single" w:sz="24" w:space="0" w:color="85BA96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"/>
        <w:gridCol w:w="10005"/>
      </w:tblGrid>
      <w:tr w:rsidR="000B51A1" w:rsidRPr="000B51A1" w:rsidTr="000B51A1">
        <w:trPr>
          <w:trHeight w:val="1927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1A1" w:rsidRPr="000B51A1" w:rsidRDefault="000B51A1" w:rsidP="000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B51A1" w:rsidRDefault="000B51A1" w:rsidP="000B51A1">
            <w:pPr>
              <w:pStyle w:val="a3"/>
              <w:spacing w:before="0" w:beforeAutospacing="0" w:after="0" w:afterAutospacing="0" w:line="280" w:lineRule="atLeast"/>
              <w:rPr>
                <w:rFonts w:ascii="Arial" w:hAnsi="Arial" w:cs="Arial"/>
                <w:color w:val="848484"/>
                <w:sz w:val="20"/>
                <w:szCs w:val="20"/>
              </w:rPr>
            </w:pPr>
            <w:hyperlink r:id="rId6" w:tgtFrame="_blank" w:history="1">
              <w:r>
                <w:rPr>
                  <w:rFonts w:ascii="Arial" w:hAnsi="Arial" w:cs="Arial"/>
                  <w:color w:val="626262"/>
                  <w:sz w:val="20"/>
                  <w:szCs w:val="20"/>
                  <w:u w:val="single"/>
                </w:rPr>
                <w:br/>
              </w:r>
              <w:r>
                <w:rPr>
                  <w:rStyle w:val="a4"/>
                  <w:rFonts w:ascii="Arial" w:hAnsi="Arial" w:cs="Arial"/>
                  <w:color w:val="626262"/>
                  <w:sz w:val="20"/>
                  <w:szCs w:val="20"/>
                </w:rPr>
                <w:t>По данным Cegedim</w:t>
              </w:r>
              <w:r>
                <w:rPr>
                  <w:rStyle w:val="apple-converted-space"/>
                  <w:rFonts w:ascii="Arial" w:hAnsi="Arial" w:cs="Arial"/>
                  <w:color w:val="59A370"/>
                  <w:sz w:val="20"/>
                  <w:szCs w:val="20"/>
                  <w:u w:val="single"/>
                </w:rPr>
                <w:t> </w:t>
              </w:r>
              <w:r>
                <w:rPr>
                  <w:rStyle w:val="a4"/>
                  <w:rFonts w:ascii="Arial" w:hAnsi="Arial" w:cs="Arial"/>
                  <w:color w:val="626262"/>
                  <w:sz w:val="20"/>
                  <w:szCs w:val="20"/>
                </w:rPr>
                <w:t>Strategic Data</w:t>
              </w:r>
            </w:hyperlink>
            <w:r>
              <w:rPr>
                <w:rFonts w:ascii="Arial" w:hAnsi="Arial" w:cs="Arial"/>
                <w:color w:val="848484"/>
                <w:sz w:val="20"/>
                <w:szCs w:val="20"/>
              </w:rPr>
              <w:t>, в России около 73% затрат фармкомпаний на продвижение приходится на работу медицинских представителей. На втором месте мероприятия — около 23% затрат.</w:t>
            </w:r>
          </w:p>
        </w:tc>
      </w:tr>
    </w:tbl>
    <w:p w:rsidR="000B51A1" w:rsidRDefault="000B51A1" w:rsidP="000B51A1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</w:rPr>
      </w:pPr>
    </w:p>
    <w:p w:rsidR="000B51A1" w:rsidRPr="00594119" w:rsidRDefault="000B51A1" w:rsidP="00594119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Государство взяло ситуацию под контроль, и в 2011 году был принят Федеральный закон № 323-ФЗ «</w:t>
      </w:r>
      <w:hyperlink r:id="rId7" w:tgtFrame="_blank" w:history="1">
        <w:r>
          <w:rPr>
            <w:rStyle w:val="a4"/>
            <w:rFonts w:ascii="Arial" w:hAnsi="Arial" w:cs="Arial"/>
            <w:color w:val="59A370"/>
          </w:rPr>
          <w:t>Об основах охраны здоровья граждан в Российской Федерации</w:t>
        </w:r>
      </w:hyperlink>
      <w:r>
        <w:rPr>
          <w:rFonts w:ascii="Arial" w:hAnsi="Arial" w:cs="Arial"/>
          <w:color w:val="000000"/>
        </w:rPr>
        <w:t xml:space="preserve">». Его положения, регулирующие взаимодействие практикующих врачей с фармацевтическими компаниями (Статья 74), вступили в силу 1 января 2012 года. С этого момента руководители медицинских организаций и другие медицинские работники уже не могли принимать от сотрудников фармкомпаний деньги и подарки, участвовать в развлечениях </w:t>
      </w:r>
      <w:r>
        <w:rPr>
          <w:rFonts w:ascii="Arial" w:hAnsi="Arial" w:cs="Arial"/>
          <w:color w:val="000000"/>
        </w:rPr>
        <w:lastRenderedPageBreak/>
        <w:t xml:space="preserve">за счет компаний, получать образцы препаратов для передачи пациентам, а также заключать соглашения о рекомендации и назначении любых лекарственных средств. Возможности продвижения фармацевтических продуктов во время визитов медицинских представителей и сами визиты стали сильно </w:t>
      </w:r>
      <w:r w:rsidR="00B03E8D">
        <w:rPr>
          <w:rFonts w:ascii="Arial" w:hAnsi="Arial" w:cs="Arial"/>
          <w:color w:val="000000"/>
        </w:rPr>
        <w:t>ограничены. Сегодня</w:t>
      </w:r>
      <w:r>
        <w:rPr>
          <w:rFonts w:ascii="Arial" w:hAnsi="Arial" w:cs="Arial"/>
          <w:color w:val="000000"/>
        </w:rPr>
        <w:t xml:space="preserve"> их работа сводится к инф</w:t>
      </w:r>
      <w:r>
        <w:rPr>
          <w:rFonts w:ascii="Arial" w:hAnsi="Arial" w:cs="Arial"/>
          <w:color w:val="000000"/>
          <w:shd w:val="clear" w:color="auto" w:fill="FFFFFF"/>
        </w:rPr>
        <w:t>ормированию врачей и лишь косвенно может стимулировать продажи тех или иных лекарств. Задача медпредставителей — наиболее полно рассказать врачу о продвигаемом препарате, предоставить результаты исследований и убедить в его эффективности. Прямого стимулирования назначений уже не прои</w:t>
      </w:r>
      <w:r w:rsidR="00594119">
        <w:rPr>
          <w:rFonts w:ascii="Arial" w:hAnsi="Arial" w:cs="Arial"/>
          <w:color w:val="000000"/>
          <w:shd w:val="clear" w:color="auto" w:fill="FFFFFF"/>
        </w:rPr>
        <w:t>сходит, по крайней мере, открыто.</w:t>
      </w:r>
    </w:p>
    <w:p w:rsidR="000B51A1" w:rsidRDefault="000B51A1" w:rsidP="000B51A1">
      <w:pPr>
        <w:shd w:val="clear" w:color="auto" w:fill="85BA96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</w:p>
    <w:p w:rsidR="000B51A1" w:rsidRPr="000B51A1" w:rsidRDefault="000B51A1" w:rsidP="000B51A1">
      <w:pPr>
        <w:shd w:val="clear" w:color="auto" w:fill="85BA96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0B51A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Работа медицинских представителей с врачами и фармацевтами </w:t>
      </w:r>
    </w:p>
    <w:tbl>
      <w:tblPr>
        <w:tblW w:w="9928" w:type="dxa"/>
        <w:tblBorders>
          <w:top w:val="single" w:sz="24" w:space="0" w:color="85BA96"/>
          <w:left w:val="single" w:sz="24" w:space="0" w:color="85BA96"/>
          <w:bottom w:val="single" w:sz="24" w:space="0" w:color="85BA96"/>
          <w:right w:val="single" w:sz="24" w:space="0" w:color="85BA96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3"/>
        <w:gridCol w:w="253"/>
        <w:gridCol w:w="3207"/>
        <w:gridCol w:w="5709"/>
        <w:gridCol w:w="253"/>
        <w:gridCol w:w="253"/>
      </w:tblGrid>
      <w:tr w:rsidR="000B51A1" w:rsidRPr="000B51A1" w:rsidTr="00594119">
        <w:trPr>
          <w:trHeight w:val="259"/>
          <w:tblHeader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1A1" w:rsidRPr="000B51A1" w:rsidRDefault="000B51A1" w:rsidP="000B51A1">
            <w:pPr>
              <w:shd w:val="clear" w:color="auto" w:fill="85BA9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1A1" w:rsidRPr="000B51A1" w:rsidRDefault="000B51A1" w:rsidP="000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210" w:type="dxa"/>
              <w:left w:w="0" w:type="dxa"/>
              <w:bottom w:w="165" w:type="dxa"/>
              <w:right w:w="375" w:type="dxa"/>
            </w:tcMar>
            <w:vAlign w:val="center"/>
            <w:hideMark/>
          </w:tcPr>
          <w:p w:rsidR="000B51A1" w:rsidRPr="000B51A1" w:rsidRDefault="000B51A1" w:rsidP="000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Нельзя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210" w:type="dxa"/>
              <w:left w:w="0" w:type="dxa"/>
              <w:bottom w:w="165" w:type="dxa"/>
              <w:right w:w="375" w:type="dxa"/>
            </w:tcMar>
            <w:vAlign w:val="center"/>
            <w:hideMark/>
          </w:tcPr>
          <w:p w:rsidR="000B51A1" w:rsidRPr="000B51A1" w:rsidRDefault="000B51A1" w:rsidP="000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1A1" w:rsidRPr="000B51A1" w:rsidRDefault="000B51A1" w:rsidP="000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1A1" w:rsidRPr="000B51A1" w:rsidRDefault="000B51A1" w:rsidP="000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A1" w:rsidRPr="000B51A1" w:rsidTr="00594119">
        <w:trPr>
          <w:trHeight w:val="808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1A1" w:rsidRPr="000B51A1" w:rsidRDefault="000B51A1" w:rsidP="000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1A1" w:rsidRPr="000B51A1" w:rsidRDefault="000B51A1" w:rsidP="000B51A1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</w:tcBorders>
            <w:tcMar>
              <w:top w:w="300" w:type="dxa"/>
              <w:left w:w="0" w:type="dxa"/>
              <w:bottom w:w="120" w:type="dxa"/>
              <w:right w:w="375" w:type="dxa"/>
            </w:tcMar>
            <w:hideMark/>
          </w:tcPr>
          <w:p w:rsidR="000B51A1" w:rsidRPr="000B51A1" w:rsidRDefault="000B51A1" w:rsidP="000B51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848484"/>
                <w:sz w:val="20"/>
                <w:szCs w:val="20"/>
                <w:lang w:eastAsia="ru-RU"/>
              </w:rPr>
            </w:pPr>
            <w:r w:rsidRPr="000B51A1">
              <w:rPr>
                <w:rFonts w:ascii="Times New Roman" w:eastAsia="Times New Roman" w:hAnsi="Times New Roman" w:cs="Times New Roman"/>
                <w:color w:val="848484"/>
                <w:sz w:val="20"/>
                <w:szCs w:val="20"/>
                <w:lang w:eastAsia="ru-RU"/>
              </w:rPr>
              <w:t>Дарить врачам подарки, деньги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tcMar>
              <w:top w:w="300" w:type="dxa"/>
              <w:left w:w="0" w:type="dxa"/>
              <w:bottom w:w="120" w:type="dxa"/>
              <w:right w:w="375" w:type="dxa"/>
            </w:tcMar>
            <w:hideMark/>
          </w:tcPr>
          <w:p w:rsidR="000B51A1" w:rsidRPr="000B51A1" w:rsidRDefault="000B51A1" w:rsidP="000B51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848484"/>
                <w:sz w:val="20"/>
                <w:szCs w:val="20"/>
                <w:lang w:eastAsia="ru-RU"/>
              </w:rPr>
            </w:pPr>
            <w:r w:rsidRPr="000B51A1">
              <w:rPr>
                <w:rFonts w:ascii="Times New Roman" w:eastAsia="Times New Roman" w:hAnsi="Times New Roman" w:cs="Times New Roman"/>
                <w:color w:val="848484"/>
                <w:sz w:val="20"/>
                <w:szCs w:val="20"/>
                <w:lang w:eastAsia="ru-RU"/>
              </w:rPr>
              <w:t>Организовывать для врачей и фармацевтов конференции, семинары, лекции и другие информационные и научные мероприятия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1A1" w:rsidRPr="000B51A1" w:rsidRDefault="000B51A1" w:rsidP="000B51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848484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1A1" w:rsidRPr="000B51A1" w:rsidRDefault="000B51A1" w:rsidP="000B51A1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1A1" w:rsidRPr="000B51A1" w:rsidTr="00594119">
        <w:trPr>
          <w:trHeight w:val="548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1A1" w:rsidRPr="000B51A1" w:rsidRDefault="000B51A1" w:rsidP="000B51A1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1A1" w:rsidRPr="000B51A1" w:rsidRDefault="000B51A1" w:rsidP="000B51A1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</w:tcBorders>
            <w:tcMar>
              <w:top w:w="120" w:type="dxa"/>
              <w:left w:w="0" w:type="dxa"/>
              <w:bottom w:w="120" w:type="dxa"/>
              <w:right w:w="375" w:type="dxa"/>
            </w:tcMar>
            <w:hideMark/>
          </w:tcPr>
          <w:p w:rsidR="000B51A1" w:rsidRPr="000B51A1" w:rsidRDefault="000B51A1" w:rsidP="000B51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848484"/>
                <w:sz w:val="20"/>
                <w:szCs w:val="20"/>
                <w:lang w:eastAsia="ru-RU"/>
              </w:rPr>
            </w:pPr>
            <w:r w:rsidRPr="000B51A1">
              <w:rPr>
                <w:rFonts w:ascii="Times New Roman" w:eastAsia="Times New Roman" w:hAnsi="Times New Roman" w:cs="Times New Roman"/>
                <w:color w:val="848484"/>
                <w:sz w:val="20"/>
                <w:szCs w:val="20"/>
                <w:lang w:eastAsia="ru-RU"/>
              </w:rPr>
              <w:t>Оплачивать развлечения, досуг, отдых врачей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tcMar>
              <w:top w:w="120" w:type="dxa"/>
              <w:left w:w="0" w:type="dxa"/>
              <w:bottom w:w="120" w:type="dxa"/>
              <w:right w:w="375" w:type="dxa"/>
            </w:tcMar>
            <w:hideMark/>
          </w:tcPr>
          <w:p w:rsidR="000B51A1" w:rsidRPr="000B51A1" w:rsidRDefault="000B51A1" w:rsidP="000B51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848484"/>
                <w:sz w:val="20"/>
                <w:szCs w:val="20"/>
                <w:lang w:eastAsia="ru-RU"/>
              </w:rPr>
            </w:pPr>
            <w:r w:rsidRPr="000B51A1">
              <w:rPr>
                <w:rFonts w:ascii="Times New Roman" w:eastAsia="Times New Roman" w:hAnsi="Times New Roman" w:cs="Times New Roman"/>
                <w:color w:val="848484"/>
                <w:sz w:val="20"/>
                <w:szCs w:val="20"/>
                <w:lang w:eastAsia="ru-RU"/>
              </w:rPr>
              <w:t>Проводить обучающие мероприятия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1A1" w:rsidRPr="000B51A1" w:rsidRDefault="000B51A1" w:rsidP="000B51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848484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1A1" w:rsidRPr="000B51A1" w:rsidRDefault="000B51A1" w:rsidP="000B51A1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1A1" w:rsidRPr="000B51A1" w:rsidTr="00594119">
        <w:trPr>
          <w:trHeight w:val="808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1A1" w:rsidRPr="000B51A1" w:rsidRDefault="000B51A1" w:rsidP="000B51A1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1A1" w:rsidRPr="000B51A1" w:rsidRDefault="000B51A1" w:rsidP="000B51A1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</w:tcBorders>
            <w:tcMar>
              <w:top w:w="120" w:type="dxa"/>
              <w:left w:w="0" w:type="dxa"/>
              <w:bottom w:w="120" w:type="dxa"/>
              <w:right w:w="375" w:type="dxa"/>
            </w:tcMar>
            <w:hideMark/>
          </w:tcPr>
          <w:p w:rsidR="000B51A1" w:rsidRPr="000B51A1" w:rsidRDefault="000B51A1" w:rsidP="000B51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848484"/>
                <w:sz w:val="20"/>
                <w:szCs w:val="20"/>
                <w:lang w:eastAsia="ru-RU"/>
              </w:rPr>
            </w:pPr>
            <w:r w:rsidRPr="000B51A1">
              <w:rPr>
                <w:rFonts w:ascii="Times New Roman" w:eastAsia="Times New Roman" w:hAnsi="Times New Roman" w:cs="Times New Roman"/>
                <w:color w:val="848484"/>
                <w:sz w:val="20"/>
                <w:szCs w:val="20"/>
                <w:lang w:eastAsia="ru-RU"/>
              </w:rPr>
              <w:t>Предоставлять образцы продукции для передачи пациентам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tcMar>
              <w:top w:w="120" w:type="dxa"/>
              <w:left w:w="0" w:type="dxa"/>
              <w:bottom w:w="120" w:type="dxa"/>
              <w:right w:w="375" w:type="dxa"/>
            </w:tcMar>
            <w:hideMark/>
          </w:tcPr>
          <w:p w:rsidR="000B51A1" w:rsidRPr="000B51A1" w:rsidRDefault="000B51A1" w:rsidP="000B51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848484"/>
                <w:sz w:val="20"/>
                <w:szCs w:val="20"/>
                <w:lang w:eastAsia="ru-RU"/>
              </w:rPr>
            </w:pPr>
            <w:r w:rsidRPr="000B51A1">
              <w:rPr>
                <w:rFonts w:ascii="Times New Roman" w:eastAsia="Times New Roman" w:hAnsi="Times New Roman" w:cs="Times New Roman"/>
                <w:color w:val="848484"/>
                <w:sz w:val="20"/>
                <w:szCs w:val="20"/>
                <w:lang w:eastAsia="ru-RU"/>
              </w:rPr>
              <w:t>Общаться с врачами онлайн и по телефону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1A1" w:rsidRPr="000B51A1" w:rsidRDefault="000B51A1" w:rsidP="000B51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848484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1A1" w:rsidRPr="000B51A1" w:rsidRDefault="000B51A1" w:rsidP="000B51A1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1A1" w:rsidRPr="000B51A1" w:rsidTr="00594119">
        <w:trPr>
          <w:trHeight w:val="808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1A1" w:rsidRPr="000B51A1" w:rsidRDefault="000B51A1" w:rsidP="000B51A1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1A1" w:rsidRPr="000B51A1" w:rsidRDefault="000B51A1" w:rsidP="000B51A1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</w:tcBorders>
            <w:tcMar>
              <w:top w:w="120" w:type="dxa"/>
              <w:left w:w="0" w:type="dxa"/>
              <w:bottom w:w="120" w:type="dxa"/>
              <w:right w:w="375" w:type="dxa"/>
            </w:tcMar>
            <w:hideMark/>
          </w:tcPr>
          <w:p w:rsidR="000B51A1" w:rsidRPr="000B51A1" w:rsidRDefault="000B51A1" w:rsidP="000B51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848484"/>
                <w:sz w:val="20"/>
                <w:szCs w:val="20"/>
                <w:lang w:eastAsia="ru-RU"/>
              </w:rPr>
            </w:pPr>
            <w:r w:rsidRPr="000B51A1">
              <w:rPr>
                <w:rFonts w:ascii="Times New Roman" w:eastAsia="Times New Roman" w:hAnsi="Times New Roman" w:cs="Times New Roman"/>
                <w:color w:val="848484"/>
                <w:sz w:val="20"/>
                <w:szCs w:val="20"/>
                <w:lang w:eastAsia="ru-RU"/>
              </w:rPr>
              <w:t>Заключать с врачами соглашения о назначении препаратов</w:t>
            </w:r>
          </w:p>
        </w:tc>
        <w:tc>
          <w:tcPr>
            <w:tcW w:w="0" w:type="auto"/>
            <w:tcBorders>
              <w:top w:val="single" w:sz="6" w:space="0" w:color="E9E9E9"/>
            </w:tcBorders>
            <w:tcMar>
              <w:top w:w="120" w:type="dxa"/>
              <w:left w:w="0" w:type="dxa"/>
              <w:bottom w:w="120" w:type="dxa"/>
              <w:right w:w="375" w:type="dxa"/>
            </w:tcMar>
            <w:hideMark/>
          </w:tcPr>
          <w:p w:rsidR="000B51A1" w:rsidRPr="000B51A1" w:rsidRDefault="000B51A1" w:rsidP="000B51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848484"/>
                <w:sz w:val="20"/>
                <w:szCs w:val="20"/>
                <w:lang w:eastAsia="ru-RU"/>
              </w:rPr>
            </w:pPr>
            <w:r w:rsidRPr="000B51A1">
              <w:rPr>
                <w:rFonts w:ascii="Times New Roman" w:eastAsia="Times New Roman" w:hAnsi="Times New Roman" w:cs="Times New Roman"/>
                <w:color w:val="848484"/>
                <w:sz w:val="20"/>
                <w:szCs w:val="20"/>
                <w:lang w:eastAsia="ru-RU"/>
              </w:rPr>
              <w:t>Присылать информацию врачам на e-mail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1A1" w:rsidRPr="000B51A1" w:rsidRDefault="000B51A1" w:rsidP="000B51A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848484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1A1" w:rsidRPr="000B51A1" w:rsidRDefault="000B51A1" w:rsidP="000B51A1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1A1" w:rsidRPr="000B51A1" w:rsidTr="00594119">
        <w:trPr>
          <w:trHeight w:val="10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1A1" w:rsidRPr="000B51A1" w:rsidRDefault="000B51A1" w:rsidP="000B51A1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1A1" w:rsidRPr="000B51A1" w:rsidRDefault="000B51A1" w:rsidP="000B51A1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1A1" w:rsidRPr="000B51A1" w:rsidRDefault="000B51A1" w:rsidP="000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1A1" w:rsidRPr="000B51A1" w:rsidRDefault="000B51A1" w:rsidP="000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1A1" w:rsidRPr="000B51A1" w:rsidRDefault="000B51A1" w:rsidP="000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51A1" w:rsidRPr="000B51A1" w:rsidRDefault="000B51A1" w:rsidP="000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4621" w:rsidRDefault="00B03E8D">
      <w:pPr>
        <w:rPr>
          <w:rFonts w:ascii="Tahoma" w:hAnsi="Tahoma" w:cs="Tahoma"/>
          <w:color w:val="636363"/>
          <w:sz w:val="20"/>
          <w:szCs w:val="20"/>
          <w:shd w:val="clear" w:color="auto" w:fill="FFFFFF"/>
        </w:rPr>
      </w:pPr>
      <w:r>
        <w:t>2.1.</w:t>
      </w:r>
      <w:r>
        <w:rPr>
          <w:rFonts w:ascii="Tahoma" w:hAnsi="Tahoma" w:cs="Tahoma"/>
          <w:color w:val="636363"/>
          <w:sz w:val="20"/>
          <w:szCs w:val="20"/>
          <w:shd w:val="clear" w:color="auto" w:fill="FFFFFF"/>
        </w:rPr>
        <w:t xml:space="preserve"> Врачебному составу диспансера принять информацию к сведению.</w:t>
      </w:r>
    </w:p>
    <w:p w:rsidR="00B03E8D" w:rsidRDefault="00B03E8D">
      <w:r>
        <w:rPr>
          <w:rFonts w:ascii="Tahoma" w:hAnsi="Tahoma" w:cs="Tahoma"/>
          <w:color w:val="636363"/>
          <w:sz w:val="20"/>
          <w:szCs w:val="20"/>
          <w:shd w:val="clear" w:color="auto" w:fill="FFFFFF"/>
        </w:rPr>
        <w:t>С темой ознакомила: Квочкина Е.В.</w:t>
      </w:r>
    </w:p>
    <w:sectPr w:rsidR="00B0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55"/>
    <w:rsid w:val="000B51A1"/>
    <w:rsid w:val="00194621"/>
    <w:rsid w:val="003C0855"/>
    <w:rsid w:val="00594119"/>
    <w:rsid w:val="00B0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06C56-E182-479B-BC3E-E3B6009E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1A1"/>
  </w:style>
  <w:style w:type="character" w:styleId="a4">
    <w:name w:val="Hyperlink"/>
    <w:basedOn w:val="a0"/>
    <w:uiPriority w:val="99"/>
    <w:semiHidden/>
    <w:unhideWhenUsed/>
    <w:rsid w:val="000B5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99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7330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gedimrm.com/news-events/newsletters/insights/Documents/pharmapromospend.html" TargetMode="External"/><Relationship Id="rId5" Type="http://schemas.openxmlformats.org/officeDocument/2006/relationships/hyperlink" Target="http://government.ru/media/files/u8akRanvTl4.pdf" TargetMode="External"/><Relationship Id="rId4" Type="http://schemas.openxmlformats.org/officeDocument/2006/relationships/hyperlink" Target="http://www.slideshare.net/Infor-media/schur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2016-08-07T13:44:00Z</dcterms:created>
  <dcterms:modified xsi:type="dcterms:W3CDTF">2016-08-07T14:11:00Z</dcterms:modified>
</cp:coreProperties>
</file>